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wmf" ContentType="image/x-wmf"/>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ConsPlusNormal1"/>
        <w:numPr>
          <w:ilvl w:val="0"/>
          <w:numId w:val="0"/>
        </w:numPr>
        <w:ind w:firstLine="4820"/>
        <w:outlineLvl w:val="1"/>
        <w:rPr>
          <w:rFonts w:ascii="Times New Roman" w:hAnsi="Times New Roman"/>
          <w:sz w:val="28"/>
          <w:szCs w:val="28"/>
        </w:rPr>
      </w:pPr>
      <w:bookmarkStart w:id="0" w:name="_GoBack"/>
      <w:bookmarkEnd w:id="0"/>
      <w:r>
        <w:rPr>
          <w:rFonts w:ascii="Times New Roman" w:hAnsi="Times New Roman"/>
          <w:sz w:val="28"/>
          <w:szCs w:val="28"/>
        </w:rPr>
        <w:t>Приложение 2</w:t>
      </w:r>
    </w:p>
    <w:p>
      <w:pPr>
        <w:pStyle w:val="ConsPlusNormal1"/>
        <w:ind w:firstLine="4820"/>
        <w:rPr>
          <w:rFonts w:ascii="Times New Roman" w:hAnsi="Times New Roman"/>
          <w:sz w:val="28"/>
          <w:szCs w:val="28"/>
        </w:rPr>
      </w:pPr>
      <w:r>
        <w:rPr>
          <w:rFonts w:ascii="Times New Roman" w:hAnsi="Times New Roman"/>
          <w:sz w:val="28"/>
          <w:szCs w:val="28"/>
        </w:rPr>
        <w:t>к государственной программе</w:t>
      </w:r>
    </w:p>
    <w:p>
      <w:pPr>
        <w:pStyle w:val="ConsPlusNormal1"/>
        <w:ind w:firstLine="4820"/>
        <w:rPr>
          <w:rFonts w:ascii="Times New Roman" w:hAnsi="Times New Roman"/>
          <w:sz w:val="28"/>
          <w:szCs w:val="28"/>
        </w:rPr>
      </w:pPr>
      <w:r>
        <w:rPr>
          <w:rFonts w:ascii="Times New Roman" w:hAnsi="Times New Roman"/>
          <w:sz w:val="28"/>
          <w:szCs w:val="28"/>
        </w:rPr>
        <w:t>«Доступная среда Брянской области»</w:t>
      </w:r>
    </w:p>
    <w:p>
      <w:pPr>
        <w:pStyle w:val="ConsPlusNormal1"/>
        <w:jc w:val="both"/>
        <w:rPr>
          <w:rFonts w:ascii="Times New Roman" w:hAnsi="Times New Roman"/>
          <w:sz w:val="28"/>
          <w:szCs w:val="28"/>
        </w:rPr>
      </w:pPr>
      <w:r>
        <w:rPr>
          <w:rFonts w:ascii="Times New Roman" w:hAnsi="Times New Roman"/>
          <w:sz w:val="28"/>
          <w:szCs w:val="28"/>
        </w:rPr>
      </w:r>
      <w:bookmarkStart w:id="1" w:name="P1541"/>
      <w:bookmarkStart w:id="2" w:name="P1541"/>
      <w:bookmarkEnd w:id="2"/>
    </w:p>
    <w:p>
      <w:pPr>
        <w:pStyle w:val="ConsPlusNormal1"/>
        <w:jc w:val="both"/>
        <w:rPr>
          <w:rFonts w:ascii="Times New Roman" w:hAnsi="Times New Roman"/>
          <w:sz w:val="28"/>
          <w:szCs w:val="28"/>
        </w:rPr>
      </w:pPr>
      <w:r>
        <w:rPr>
          <w:rFonts w:ascii="Times New Roman" w:hAnsi="Times New Roman"/>
          <w:sz w:val="28"/>
          <w:szCs w:val="28"/>
        </w:rPr>
      </w:r>
    </w:p>
    <w:p>
      <w:pPr>
        <w:pStyle w:val="ConsPlusNormal1"/>
        <w:numPr>
          <w:ilvl w:val="0"/>
          <w:numId w:val="0"/>
        </w:numPr>
        <w:jc w:val="center"/>
        <w:outlineLvl w:val="2"/>
        <w:rPr>
          <w:rFonts w:ascii="Times New Roman" w:hAnsi="Times New Roman"/>
          <w:b/>
          <w:b/>
          <w:sz w:val="28"/>
          <w:szCs w:val="28"/>
        </w:rPr>
      </w:pPr>
      <w:bookmarkStart w:id="3" w:name="P1563"/>
      <w:bookmarkEnd w:id="3"/>
      <w:r>
        <w:rPr>
          <w:rFonts w:ascii="Times New Roman" w:hAnsi="Times New Roman"/>
          <w:b/>
          <w:sz w:val="28"/>
          <w:szCs w:val="28"/>
        </w:rPr>
        <w:t>ПОРЯДОК</w:t>
      </w:r>
    </w:p>
    <w:p>
      <w:pPr>
        <w:pStyle w:val="Normal"/>
        <w:numPr>
          <w:ilvl w:val="0"/>
          <w:numId w:val="0"/>
        </w:numPr>
        <w:jc w:val="center"/>
        <w:outlineLvl w:val="0"/>
        <w:rPr>
          <w:b/>
          <w:b/>
          <w:sz w:val="28"/>
          <w:szCs w:val="28"/>
        </w:rPr>
      </w:pPr>
      <w:r>
        <w:rPr>
          <w:b/>
          <w:sz w:val="28"/>
          <w:szCs w:val="28"/>
        </w:rPr>
        <w:t>предоставления субсидий из областного бюджета</w:t>
      </w:r>
    </w:p>
    <w:p>
      <w:pPr>
        <w:pStyle w:val="Normal"/>
        <w:numPr>
          <w:ilvl w:val="0"/>
          <w:numId w:val="0"/>
        </w:numPr>
        <w:jc w:val="center"/>
        <w:outlineLvl w:val="0"/>
        <w:rPr>
          <w:b/>
          <w:b/>
          <w:sz w:val="28"/>
          <w:szCs w:val="28"/>
        </w:rPr>
      </w:pPr>
      <w:r>
        <w:rPr>
          <w:b/>
          <w:sz w:val="28"/>
          <w:szCs w:val="28"/>
        </w:rPr>
        <w:t>бюджетам муниципальных образований Брянской области</w:t>
      </w:r>
    </w:p>
    <w:p>
      <w:pPr>
        <w:pStyle w:val="ConsPlusNormal1"/>
        <w:jc w:val="center"/>
        <w:rPr>
          <w:rFonts w:ascii="Times New Roman" w:hAnsi="Times New Roman"/>
          <w:b/>
          <w:b/>
          <w:sz w:val="28"/>
          <w:szCs w:val="28"/>
        </w:rPr>
      </w:pPr>
      <w:r>
        <w:rPr>
          <w:rFonts w:ascii="Times New Roman" w:hAnsi="Times New Roman"/>
          <w:b/>
          <w:sz w:val="28"/>
          <w:szCs w:val="28"/>
        </w:rPr>
        <w:t>на  создание в дошкольных образовательных, общеобразовательных организациях, организациях дополнительного образования детей</w:t>
      </w:r>
    </w:p>
    <w:p>
      <w:pPr>
        <w:pStyle w:val="ConsPlusNormal1"/>
        <w:jc w:val="center"/>
        <w:rPr>
          <w:rFonts w:ascii="Times New Roman" w:hAnsi="Times New Roman"/>
          <w:b/>
          <w:b/>
          <w:sz w:val="28"/>
          <w:szCs w:val="28"/>
        </w:rPr>
      </w:pPr>
      <w:r>
        <w:rPr>
          <w:rFonts w:ascii="Times New Roman" w:hAnsi="Times New Roman"/>
          <w:b/>
          <w:sz w:val="28"/>
          <w:szCs w:val="28"/>
        </w:rPr>
        <w:t>(в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w:t>
      </w:r>
    </w:p>
    <w:p>
      <w:pPr>
        <w:pStyle w:val="ConsPlusNormal1"/>
        <w:jc w:val="center"/>
        <w:rPr>
          <w:rFonts w:ascii="Times New Roman" w:hAnsi="Times New Roman"/>
          <w:sz w:val="28"/>
          <w:szCs w:val="28"/>
        </w:rPr>
      </w:pPr>
      <w:r>
        <w:rPr>
          <w:rFonts w:ascii="Times New Roman" w:hAnsi="Times New Roman"/>
          <w:b/>
          <w:sz w:val="28"/>
          <w:szCs w:val="28"/>
        </w:rPr>
        <w:t>качественного образования</w:t>
      </w:r>
    </w:p>
    <w:p>
      <w:pPr>
        <w:pStyle w:val="ConsPlusNormal1"/>
        <w:jc w:val="center"/>
        <w:rPr>
          <w:rFonts w:ascii="Times New Roman" w:hAnsi="Times New Roman"/>
          <w:sz w:val="28"/>
          <w:szCs w:val="28"/>
        </w:rPr>
      </w:pPr>
      <w:r>
        <w:rPr>
          <w:rFonts w:ascii="Times New Roman" w:hAnsi="Times New Roman"/>
          <w:sz w:val="28"/>
          <w:szCs w:val="28"/>
        </w:rPr>
      </w:r>
    </w:p>
    <w:p>
      <w:pPr>
        <w:pStyle w:val="Normal"/>
        <w:numPr>
          <w:ilvl w:val="0"/>
          <w:numId w:val="0"/>
        </w:numPr>
        <w:ind w:firstLine="540"/>
        <w:jc w:val="both"/>
        <w:outlineLvl w:val="0"/>
        <w:rPr>
          <w:sz w:val="28"/>
          <w:szCs w:val="28"/>
        </w:rPr>
      </w:pPr>
      <w:r>
        <w:rPr>
          <w:sz w:val="28"/>
          <w:szCs w:val="28"/>
        </w:rPr>
        <w:t>1. Настоящий Порядок устанавливает цели и условия предоставления субсидий из областного бюджета бюджетам муниципальных образований Брянской области в соответствии с Правилами формирования, предоставления и распределения субсидий из областного бюджета бюджетам муниципальных образований Брянской области, утвержденных Постановлением Правительства Брянской области от  23 июля 2018 года № 362-п (далее – Правила формирования, предоставления и распределения субсидий), на создание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 за счет средств, зарезервированных в областном бюджете на поддержку реализации мероприятий  государственной программы «Доступная среда Брянской области» (далее соответственно - субсидии, Программа), критерии отбора муниципальных образований для предоставления субсидий, порядок перечисления субсидий, методику распределения субсидий бюджетам муниципальных образований, а также порядок отчетности об использовании субсидий.</w:t>
      </w:r>
    </w:p>
    <w:p>
      <w:pPr>
        <w:pStyle w:val="ConsPlusNormal1"/>
        <w:ind w:firstLine="540"/>
        <w:jc w:val="both"/>
        <w:rPr>
          <w:rFonts w:ascii="Times New Roman" w:hAnsi="Times New Roman"/>
          <w:sz w:val="28"/>
          <w:szCs w:val="28"/>
        </w:rPr>
      </w:pPr>
      <w:r>
        <w:rPr>
          <w:rFonts w:ascii="Times New Roman" w:hAnsi="Times New Roman"/>
          <w:sz w:val="28"/>
          <w:szCs w:val="28"/>
        </w:rPr>
        <w:t>2. Субсидии предоставляются в целях софинансирования выполнения полномочий органов местного самоуправления, связанных с финансовым обеспечением реализации мероприятий,  направленных на создание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 в том числе на приобретение специального, реабилитационного, компьютерного оборудования, устройство пандусов, расширение дверных проемов, замену напольных покрытий, демонтаж дверных порогов, установку перил вдоль стен внутри здания, устройство разметки, оборудование санитарно-гигиенических помещений, переоборудование и приспособление раздевалок, спортивных залов, столовых, классных комнат, кабинетов педагогов-психологов, учителей-логопедов, комнат психологической разгрузки, медицинских кабинетов и пр.</w:t>
      </w:r>
    </w:p>
    <w:p>
      <w:pPr>
        <w:pStyle w:val="ConsPlusNormal1"/>
        <w:spacing w:lineRule="auto" w:line="276"/>
        <w:ind w:firstLine="540"/>
        <w:jc w:val="both"/>
        <w:rPr>
          <w:rFonts w:ascii="Times New Roman" w:hAnsi="Times New Roman"/>
          <w:sz w:val="28"/>
          <w:szCs w:val="28"/>
        </w:rPr>
      </w:pPr>
      <w:r>
        <w:rPr>
          <w:rFonts w:ascii="Times New Roman" w:hAnsi="Times New Roman"/>
          <w:sz w:val="28"/>
          <w:szCs w:val="28"/>
        </w:rPr>
        <w:t>3. Отбор муниципальных образований осуществляется по конкурсу, организованному департаментом образования и науки Брянской области.</w:t>
      </w:r>
    </w:p>
    <w:p>
      <w:pPr>
        <w:pStyle w:val="Normal"/>
        <w:tabs>
          <w:tab w:val="clear" w:pos="708"/>
          <w:tab w:val="left" w:pos="993" w:leader="none"/>
        </w:tabs>
        <w:jc w:val="both"/>
        <w:rPr>
          <w:sz w:val="28"/>
          <w:szCs w:val="28"/>
        </w:rPr>
      </w:pPr>
      <w:r>
        <w:rPr>
          <w:sz w:val="28"/>
          <w:szCs w:val="28"/>
        </w:rPr>
        <w:t xml:space="preserve">       </w:t>
      </w:r>
      <w:r>
        <w:rPr>
          <w:sz w:val="28"/>
          <w:szCs w:val="28"/>
        </w:rPr>
        <w:t>4. Условиями предоставления субсидии являются:</w:t>
      </w:r>
    </w:p>
    <w:p>
      <w:pPr>
        <w:pStyle w:val="Normal"/>
        <w:ind w:firstLine="709"/>
        <w:jc w:val="both"/>
        <w:rPr>
          <w:rFonts w:eastAsia="Calibri" w:eastAsiaTheme="minorHAnsi"/>
          <w:color w:val="000000" w:themeColor="text1"/>
          <w:sz w:val="28"/>
          <w:szCs w:val="28"/>
          <w:lang w:eastAsia="en-US"/>
        </w:rPr>
      </w:pPr>
      <w:r>
        <w:rPr>
          <w:sz w:val="28"/>
          <w:szCs w:val="28"/>
        </w:rPr>
        <w:t xml:space="preserve">а) наличие в бюджете муниципального образования бюджетных ассигнований на исполнение расходных обязательств муниципального образования в размере, установленном  предельным уровнем софинансирования расходных обязательств муниципальных образований, </w:t>
      </w:r>
      <w:r>
        <w:rPr>
          <w:rFonts w:eastAsia="Calibri" w:eastAsiaTheme="minorHAnsi"/>
          <w:color w:val="000000" w:themeColor="text1"/>
          <w:sz w:val="28"/>
          <w:szCs w:val="28"/>
          <w:lang w:eastAsia="en-US"/>
        </w:rPr>
        <w:t xml:space="preserve">утвержденный </w:t>
      </w:r>
      <w:hyperlink r:id="rId2">
        <w:r>
          <w:rPr>
            <w:rFonts w:eastAsia="Calibri" w:eastAsiaTheme="minorHAnsi"/>
            <w:color w:val="000000" w:themeColor="text1"/>
            <w:sz w:val="28"/>
            <w:szCs w:val="28"/>
            <w:lang w:eastAsia="en-US"/>
          </w:rPr>
          <w:t>постановлением</w:t>
        </w:r>
      </w:hyperlink>
      <w:r>
        <w:rPr>
          <w:rFonts w:eastAsia="Calibri" w:eastAsiaTheme="minorHAnsi"/>
          <w:color w:val="000000" w:themeColor="text1"/>
          <w:sz w:val="28"/>
          <w:szCs w:val="28"/>
          <w:lang w:eastAsia="en-US"/>
        </w:rPr>
        <w:t xml:space="preserve"> Правительства Брянской области на соответствующий финансовый год и плановый период </w:t>
      </w:r>
      <w:r>
        <w:rPr>
          <w:sz w:val="28"/>
          <w:szCs w:val="28"/>
        </w:rPr>
        <w:t>на цель, указанную в пункте 2 настоящего Порядка, на финансирование которых предоставляются субсидии;</w:t>
      </w:r>
    </w:p>
    <w:p>
      <w:pPr>
        <w:pStyle w:val="ConsPlusNormal1"/>
        <w:spacing w:lineRule="auto" w:line="276"/>
        <w:ind w:firstLine="708"/>
        <w:jc w:val="both"/>
        <w:rPr>
          <w:rFonts w:ascii="Times New Roman" w:hAnsi="Times New Roman"/>
          <w:sz w:val="28"/>
          <w:szCs w:val="28"/>
        </w:rPr>
      </w:pPr>
      <w:r>
        <w:rPr>
          <w:rFonts w:ascii="Times New Roman" w:hAnsi="Times New Roman"/>
          <w:sz w:val="28"/>
          <w:szCs w:val="28"/>
        </w:rPr>
        <w:t>б) заключение соглашения между департаментом образования и науки Брянской области с органами местного самоуправления о предоставлении субсидии (далее - соглашение) в соответствии с пунктом 10 Правил формирования, предоставления и распределения субсидий.</w:t>
      </w:r>
    </w:p>
    <w:p>
      <w:pPr>
        <w:pStyle w:val="Normal"/>
        <w:ind w:firstLine="709"/>
        <w:jc w:val="both"/>
        <w:rPr>
          <w:sz w:val="28"/>
          <w:szCs w:val="28"/>
        </w:rPr>
      </w:pPr>
      <w:r>
        <w:rPr>
          <w:sz w:val="28"/>
          <w:szCs w:val="28"/>
        </w:rPr>
        <w:t>5. Критериями отбора муниципальных образований для предоставления субсидий являются:</w:t>
      </w:r>
    </w:p>
    <w:p>
      <w:pPr>
        <w:pStyle w:val="ConsPlusNormal1"/>
        <w:ind w:firstLine="540"/>
        <w:jc w:val="both"/>
        <w:rPr>
          <w:rFonts w:ascii="Times New Roman" w:hAnsi="Times New Roman"/>
          <w:sz w:val="28"/>
          <w:szCs w:val="28"/>
        </w:rPr>
      </w:pPr>
      <w:r>
        <w:rPr>
          <w:rFonts w:ascii="Times New Roman" w:hAnsi="Times New Roman"/>
          <w:sz w:val="28"/>
          <w:szCs w:val="28"/>
        </w:rPr>
        <w:t>а)    наличие в образовательной организации детей -инвалидов;</w:t>
      </w:r>
    </w:p>
    <w:p>
      <w:pPr>
        <w:pStyle w:val="ConsPlusNormal1"/>
        <w:ind w:firstLine="540"/>
        <w:jc w:val="both"/>
        <w:rPr>
          <w:rFonts w:ascii="Times New Roman" w:hAnsi="Times New Roman"/>
          <w:sz w:val="28"/>
          <w:szCs w:val="28"/>
        </w:rPr>
      </w:pPr>
      <w:r>
        <w:rPr>
          <w:rFonts w:ascii="Times New Roman" w:hAnsi="Times New Roman"/>
          <w:sz w:val="28"/>
          <w:szCs w:val="28"/>
        </w:rPr>
        <w:t>б) наличие в бюджете муниципального образования бюджетных ассигнований на исполнение расходного обязательства, на финансирование которого предоставляется субсидия;</w:t>
      </w:r>
    </w:p>
    <w:p>
      <w:pPr>
        <w:pStyle w:val="ConsPlusNormal1"/>
        <w:ind w:firstLine="540"/>
        <w:jc w:val="both"/>
        <w:rPr>
          <w:rFonts w:ascii="Times New Roman" w:hAnsi="Times New Roman"/>
          <w:sz w:val="28"/>
          <w:szCs w:val="28"/>
        </w:rPr>
      </w:pPr>
      <w:r>
        <w:rPr>
          <w:rFonts w:ascii="Times New Roman" w:hAnsi="Times New Roman"/>
          <w:sz w:val="28"/>
          <w:szCs w:val="28"/>
        </w:rPr>
        <w:t xml:space="preserve">в) наличие программы/подпрограммы (плана) муниципального образования, предусматривающей софинансирование мероприятий государственной </w:t>
      </w:r>
      <w:hyperlink r:id="rId3">
        <w:r>
          <w:rPr>
            <w:rFonts w:ascii="Times New Roman" w:hAnsi="Times New Roman"/>
            <w:sz w:val="28"/>
            <w:szCs w:val="28"/>
          </w:rPr>
          <w:t>программы</w:t>
        </w:r>
      </w:hyperlink>
      <w:r>
        <w:rPr>
          <w:rFonts w:ascii="Times New Roman" w:hAnsi="Times New Roman"/>
          <w:sz w:val="28"/>
          <w:szCs w:val="28"/>
        </w:rPr>
        <w:t xml:space="preserve"> Российской Федерации "Доступная среда" или государственной программы "Доступная среда Брянской области", в целях которых предоставляется субсидия.</w:t>
      </w:r>
    </w:p>
    <w:p>
      <w:pPr>
        <w:pStyle w:val="Normal"/>
        <w:tabs>
          <w:tab w:val="clear" w:pos="708"/>
          <w:tab w:val="left" w:pos="993" w:leader="none"/>
        </w:tabs>
        <w:ind w:firstLine="709"/>
        <w:jc w:val="both"/>
        <w:rPr>
          <w:sz w:val="28"/>
          <w:szCs w:val="28"/>
        </w:rPr>
      </w:pPr>
      <w:r>
        <w:rPr>
          <w:sz w:val="28"/>
          <w:szCs w:val="28"/>
        </w:rPr>
        <w:t>6. Распределение субсидий между бюджетами муниципальных образований утверждается нормативным правовым актом Правительства Брянской области.</w:t>
      </w:r>
    </w:p>
    <w:p>
      <w:pPr>
        <w:pStyle w:val="Normal"/>
        <w:tabs>
          <w:tab w:val="clear" w:pos="708"/>
          <w:tab w:val="left" w:pos="993" w:leader="none"/>
        </w:tabs>
        <w:ind w:firstLine="709"/>
        <w:jc w:val="both"/>
        <w:rPr>
          <w:sz w:val="28"/>
          <w:szCs w:val="28"/>
        </w:rPr>
      </w:pPr>
      <w:r>
        <w:rPr>
          <w:sz w:val="28"/>
          <w:szCs w:val="28"/>
        </w:rPr>
        <w:t>7. Главным распорядителем средств областного бюджета является департамент образования и науки Брянской области.</w:t>
      </w:r>
    </w:p>
    <w:p>
      <w:pPr>
        <w:pStyle w:val="Normal"/>
        <w:tabs>
          <w:tab w:val="clear" w:pos="708"/>
          <w:tab w:val="left" w:pos="993" w:leader="none"/>
        </w:tabs>
        <w:ind w:firstLine="709"/>
        <w:jc w:val="both"/>
        <w:rPr>
          <w:sz w:val="28"/>
          <w:szCs w:val="28"/>
        </w:rPr>
      </w:pPr>
      <w:r>
        <w:rPr>
          <w:sz w:val="28"/>
          <w:szCs w:val="28"/>
        </w:rPr>
        <w:t xml:space="preserve">8. </w:t>
        <w:tab/>
        <w:t>Главный распорядитель средств областного бюджета при выполнении муниципальным образованием в полном объёме условий предоставления субсидий, установленных пунктом 4 настоящего Порядка, перечисляет бюджетные средства в соответствии со сводной бюджетной росписью областного бюджета в пределах лимитов бюджетных обязательств.</w:t>
      </w:r>
    </w:p>
    <w:p>
      <w:pPr>
        <w:pStyle w:val="Normal"/>
        <w:tabs>
          <w:tab w:val="clear" w:pos="708"/>
          <w:tab w:val="left" w:pos="993" w:leader="none"/>
        </w:tabs>
        <w:ind w:firstLine="709"/>
        <w:jc w:val="both"/>
        <w:rPr>
          <w:sz w:val="28"/>
          <w:szCs w:val="28"/>
        </w:rPr>
      </w:pPr>
      <w:r>
        <w:rPr>
          <w:sz w:val="28"/>
          <w:szCs w:val="28"/>
        </w:rPr>
        <w:t>9. Субсидии зачисляются в доходы бюджетов муниципальных образований на счета, открытые для кассового обслуживания исполнения бюджетов в Управлении Федерального казначейства по Брянской области.</w:t>
      </w:r>
    </w:p>
    <w:p>
      <w:pPr>
        <w:pStyle w:val="Normal"/>
        <w:tabs>
          <w:tab w:val="clear" w:pos="708"/>
          <w:tab w:val="left" w:pos="993" w:leader="none"/>
        </w:tabs>
        <w:ind w:firstLine="709"/>
        <w:jc w:val="both"/>
        <w:rPr>
          <w:sz w:val="28"/>
          <w:szCs w:val="28"/>
        </w:rPr>
      </w:pPr>
      <w:r>
        <w:rPr>
          <w:sz w:val="28"/>
          <w:szCs w:val="28"/>
        </w:rPr>
        <w:t>10.</w:t>
        <w:tab/>
        <w:t>Учет операций по использованию средств, полученных в виде субсидий, осуществляется на лицевых счетах получателей средств бюджетов муниципальных образований, открытых в Управлении Федерального казначейства по Брянской области для осуществления кассового обслуживания исполнения местных бюджетов.</w:t>
      </w:r>
    </w:p>
    <w:p>
      <w:pPr>
        <w:pStyle w:val="Normal"/>
        <w:tabs>
          <w:tab w:val="clear" w:pos="708"/>
          <w:tab w:val="left" w:pos="993" w:leader="none"/>
        </w:tabs>
        <w:ind w:firstLine="709"/>
        <w:jc w:val="both"/>
        <w:rPr>
          <w:sz w:val="28"/>
          <w:szCs w:val="28"/>
        </w:rPr>
      </w:pPr>
      <w:r>
        <w:rPr>
          <w:sz w:val="28"/>
          <w:szCs w:val="28"/>
        </w:rPr>
        <w:t>11. Эффективность использования муниципальными образованиями предоставленных субсидий оценивается департаментом образования и науки Брянской области на основании отчетов органов местного самоуправления муниципальных образований о произведенных расходах.</w:t>
      </w:r>
    </w:p>
    <w:p>
      <w:pPr>
        <w:pStyle w:val="Normal"/>
        <w:tabs>
          <w:tab w:val="clear" w:pos="708"/>
          <w:tab w:val="left" w:pos="993" w:leader="none"/>
        </w:tabs>
        <w:ind w:firstLine="709"/>
        <w:jc w:val="both"/>
        <w:rPr>
          <w:sz w:val="28"/>
          <w:szCs w:val="28"/>
        </w:rPr>
      </w:pPr>
      <w:r>
        <w:rPr>
          <w:sz w:val="28"/>
          <w:szCs w:val="28"/>
        </w:rPr>
        <w:t xml:space="preserve">12. Органы местного самоуправления муниципальных образований ежемесячно представляют главному распорядителю средств областного бюджета </w:t>
      </w:r>
      <w:hyperlink w:anchor="Par143" w:tgtFrame="Ссылка на текущий документ">
        <w:r>
          <w:rPr>
            <w:sz w:val="28"/>
            <w:szCs w:val="28"/>
          </w:rPr>
          <w:t>отчет</w:t>
        </w:r>
      </w:hyperlink>
      <w:r>
        <w:rPr>
          <w:sz w:val="28"/>
          <w:szCs w:val="28"/>
        </w:rPr>
        <w:t xml:space="preserve"> об использовании субсидий в срок до 5-го числа месяца, следующего за кварталом, в котором была получена субсидия.</w:t>
      </w:r>
    </w:p>
    <w:p>
      <w:pPr>
        <w:pStyle w:val="Normal"/>
        <w:ind w:firstLine="709"/>
        <w:jc w:val="both"/>
        <w:rPr>
          <w:sz w:val="28"/>
          <w:szCs w:val="28"/>
        </w:rPr>
      </w:pPr>
      <w:r>
        <w:rPr>
          <w:sz w:val="28"/>
          <w:szCs w:val="28"/>
        </w:rPr>
        <w:t>13. Субсидии носят целевой характер. В случае нарушения муниципальным образованием условий предоставления субсидий, использования средств областного бюджета не по целевому назначению, соответствующие средства взыскиваются в областной бюджет в установленном законодательством порядке в соответствии с пунктом 16 Правил формирования, предоставления и распределения субсидий.</w:t>
      </w:r>
    </w:p>
    <w:p>
      <w:pPr>
        <w:pStyle w:val="Normal"/>
        <w:tabs>
          <w:tab w:val="clear" w:pos="708"/>
          <w:tab w:val="left" w:pos="1134" w:leader="none"/>
        </w:tabs>
        <w:ind w:firstLine="709"/>
        <w:jc w:val="both"/>
        <w:rPr>
          <w:sz w:val="28"/>
          <w:szCs w:val="28"/>
        </w:rPr>
      </w:pPr>
      <w:r>
        <w:rPr>
          <w:sz w:val="28"/>
          <w:szCs w:val="28"/>
        </w:rPr>
        <w:t>14. 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в соответствии с подпунктом «б» пункта 10 Правил формирования, предоставления и распределения субсидий,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бюджета муниципального образования в областной бюджет, и срок возврата указанных средств определяются в соответствии с пунктом 16 Правил формирования, предоставления и распределения субсидий.</w:t>
      </w:r>
    </w:p>
    <w:p>
      <w:pPr>
        <w:pStyle w:val="Normal"/>
        <w:ind w:firstLine="709"/>
        <w:jc w:val="both"/>
        <w:rPr>
          <w:sz w:val="28"/>
          <w:szCs w:val="28"/>
        </w:rPr>
      </w:pPr>
      <w:r>
        <w:rPr>
          <w:sz w:val="28"/>
          <w:szCs w:val="28"/>
        </w:rPr>
        <w:t>Освобождение муниципального образования от применения мер ответственности, предусмотренных пунктом 16 Правил формирования, предоставления и распределения субсидий, в том числе возврата средств в доход областного бюджета, осуществляется в соответствии с пунктом 20 указанных Правил.</w:t>
      </w:r>
    </w:p>
    <w:p>
      <w:pPr>
        <w:pStyle w:val="ConsPlusNormal1"/>
        <w:ind w:firstLine="709"/>
        <w:jc w:val="both"/>
        <w:rPr>
          <w:rFonts w:ascii="Times New Roman" w:hAnsi="Times New Roman"/>
          <w:sz w:val="28"/>
          <w:szCs w:val="28"/>
        </w:rPr>
      </w:pPr>
      <w:r>
        <w:rPr>
          <w:rFonts w:ascii="Times New Roman" w:hAnsi="Times New Roman"/>
          <w:sz w:val="28"/>
          <w:szCs w:val="28"/>
        </w:rPr>
        <w:t xml:space="preserve">15. Неиспользованный остаток средств субсидии по итогам года подлежит возврату в областной бюджет. В случае если неиспользованный остаток субсидии не  перечислен в доход областного бюджета, указанные средства подлежат взысканию в доход областного бюджета в порядке, установленном законодательством. </w:t>
      </w:r>
    </w:p>
    <w:p>
      <w:pPr>
        <w:pStyle w:val="Normal"/>
        <w:tabs>
          <w:tab w:val="clear" w:pos="708"/>
          <w:tab w:val="left" w:pos="1134" w:leader="none"/>
        </w:tabs>
        <w:ind w:firstLine="709"/>
        <w:jc w:val="both"/>
        <w:rPr>
          <w:sz w:val="28"/>
          <w:szCs w:val="28"/>
        </w:rPr>
      </w:pPr>
      <w:r>
        <w:rPr>
          <w:sz w:val="28"/>
          <w:szCs w:val="28"/>
        </w:rPr>
        <w:t>16. Контроль за целевым и эффективным использованием бюджетных средств осуществляют органы местного самоуправления муниципальных образований и департамент образования и науки Брянской области.</w:t>
      </w:r>
    </w:p>
    <w:p>
      <w:pPr>
        <w:pStyle w:val="Normal"/>
        <w:numPr>
          <w:ilvl w:val="0"/>
          <w:numId w:val="0"/>
        </w:numPr>
        <w:jc w:val="both"/>
        <w:outlineLvl w:val="0"/>
        <w:rPr>
          <w:sz w:val="28"/>
          <w:szCs w:val="28"/>
        </w:rPr>
      </w:pPr>
      <w:r>
        <w:rPr>
          <w:sz w:val="28"/>
          <w:szCs w:val="28"/>
        </w:rPr>
        <w:t xml:space="preserve">          </w:t>
      </w:r>
      <w:r>
        <w:rPr>
          <w:sz w:val="28"/>
          <w:szCs w:val="28"/>
        </w:rPr>
        <w:t>17. Критерием оценки эффективности использования предоставленной субсидии является достижение муниципальным образованием установленных  соглашением о предоставлении субсидий из областного бюджета бюджетам муниципальных образований значений показателей результативности исполнения мероприятий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p>
      <w:pPr>
        <w:pStyle w:val="ConsPlusNormal1"/>
        <w:ind w:firstLine="540"/>
        <w:jc w:val="both"/>
        <w:rPr>
          <w:rFonts w:ascii="Times New Roman" w:hAnsi="Times New Roman"/>
          <w:sz w:val="28"/>
          <w:szCs w:val="28"/>
        </w:rPr>
      </w:pPr>
      <w:r>
        <w:rPr>
          <w:rFonts w:ascii="Times New Roman" w:hAnsi="Times New Roman"/>
          <w:sz w:val="28"/>
          <w:szCs w:val="28"/>
        </w:rPr>
      </w:r>
    </w:p>
    <w:p>
      <w:pPr>
        <w:pStyle w:val="ConsPlusNormal1"/>
        <w:numPr>
          <w:ilvl w:val="0"/>
          <w:numId w:val="0"/>
        </w:numPr>
        <w:jc w:val="center"/>
        <w:outlineLvl w:val="2"/>
        <w:rPr>
          <w:rFonts w:ascii="Times New Roman" w:hAnsi="Times New Roman"/>
          <w:sz w:val="28"/>
          <w:szCs w:val="28"/>
        </w:rPr>
      </w:pPr>
      <w:r>
        <w:rPr>
          <w:rFonts w:ascii="Times New Roman" w:hAnsi="Times New Roman"/>
          <w:sz w:val="28"/>
          <w:szCs w:val="28"/>
        </w:rPr>
      </w:r>
    </w:p>
    <w:p>
      <w:pPr>
        <w:pStyle w:val="ConsPlusNormal1"/>
        <w:numPr>
          <w:ilvl w:val="0"/>
          <w:numId w:val="0"/>
        </w:numPr>
        <w:jc w:val="center"/>
        <w:outlineLvl w:val="2"/>
        <w:rPr>
          <w:rFonts w:ascii="Times New Roman" w:hAnsi="Times New Roman"/>
          <w:sz w:val="28"/>
          <w:szCs w:val="28"/>
        </w:rPr>
      </w:pPr>
      <w:r>
        <w:rPr>
          <w:rFonts w:ascii="Times New Roman" w:hAnsi="Times New Roman"/>
          <w:sz w:val="28"/>
          <w:szCs w:val="28"/>
        </w:rPr>
        <w:t>МЕТОДИКА</w:t>
      </w:r>
    </w:p>
    <w:p>
      <w:pPr>
        <w:pStyle w:val="ConsPlusNormal1"/>
        <w:jc w:val="center"/>
        <w:rPr>
          <w:rFonts w:ascii="Times New Roman" w:hAnsi="Times New Roman"/>
          <w:sz w:val="28"/>
          <w:szCs w:val="28"/>
        </w:rPr>
      </w:pPr>
      <w:r>
        <w:rPr>
          <w:rFonts w:ascii="Times New Roman" w:hAnsi="Times New Roman"/>
          <w:sz w:val="28"/>
          <w:szCs w:val="28"/>
        </w:rPr>
        <w:t>распределения субсидий бюджетам муниципальных образований на проведение мероприятий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w:t>
      </w:r>
    </w:p>
    <w:p>
      <w:pPr>
        <w:pStyle w:val="ConsPlusNormal1"/>
        <w:jc w:val="center"/>
        <w:rPr>
          <w:rFonts w:ascii="Times New Roman" w:hAnsi="Times New Roman"/>
          <w:sz w:val="28"/>
          <w:szCs w:val="28"/>
        </w:rPr>
      </w:pPr>
      <w:r>
        <w:rPr>
          <w:rFonts w:ascii="Times New Roman" w:hAnsi="Times New Roman"/>
          <w:sz w:val="28"/>
          <w:szCs w:val="28"/>
        </w:rPr>
        <w:t xml:space="preserve">образовательную деятельность по адаптированным основным общеобразовательным программам)условий для получения </w:t>
      </w:r>
    </w:p>
    <w:p>
      <w:pPr>
        <w:pStyle w:val="ConsPlusNormal1"/>
        <w:jc w:val="center"/>
        <w:rPr>
          <w:rFonts w:ascii="Times New Roman" w:hAnsi="Times New Roman"/>
          <w:sz w:val="28"/>
          <w:szCs w:val="28"/>
        </w:rPr>
      </w:pPr>
      <w:r>
        <w:rPr>
          <w:rFonts w:ascii="Times New Roman" w:hAnsi="Times New Roman"/>
          <w:sz w:val="28"/>
          <w:szCs w:val="28"/>
        </w:rPr>
        <w:t>детьми-инвалидам и качественного образования</w:t>
      </w:r>
    </w:p>
    <w:p>
      <w:pPr>
        <w:pStyle w:val="ConsPlusNormal1"/>
        <w:ind w:firstLine="540"/>
        <w:jc w:val="both"/>
        <w:rPr>
          <w:rFonts w:ascii="Times New Roman" w:hAnsi="Times New Roman"/>
          <w:sz w:val="28"/>
          <w:szCs w:val="28"/>
        </w:rPr>
      </w:pPr>
      <w:r>
        <w:rPr>
          <w:rFonts w:ascii="Times New Roman" w:hAnsi="Times New Roman"/>
          <w:sz w:val="28"/>
          <w:szCs w:val="28"/>
        </w:rPr>
      </w:r>
    </w:p>
    <w:p>
      <w:pPr>
        <w:pStyle w:val="ConsPlusNormal1"/>
        <w:ind w:firstLine="540"/>
        <w:jc w:val="both"/>
        <w:rPr>
          <w:rFonts w:ascii="Times New Roman" w:hAnsi="Times New Roman"/>
          <w:sz w:val="28"/>
          <w:szCs w:val="28"/>
        </w:rPr>
      </w:pPr>
      <w:r>
        <w:rPr>
          <w:rFonts w:ascii="Times New Roman" w:hAnsi="Times New Roman"/>
          <w:sz w:val="28"/>
          <w:szCs w:val="28"/>
        </w:rPr>
        <w:t>1. Субсидии распределяются бюджетам муниципальных образований на проведение мероприятий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 (далее - по созданию условий для получения детьми-инвалидами качественного образования) (далее - субсидии).</w:t>
      </w:r>
    </w:p>
    <w:p>
      <w:pPr>
        <w:pStyle w:val="ConsPlusNormal1"/>
        <w:spacing w:before="220" w:after="0"/>
        <w:ind w:firstLine="540"/>
        <w:jc w:val="both"/>
        <w:rPr>
          <w:rFonts w:ascii="Times New Roman" w:hAnsi="Times New Roman"/>
          <w:sz w:val="28"/>
          <w:szCs w:val="28"/>
        </w:rPr>
      </w:pPr>
      <w:r>
        <w:rPr>
          <w:rFonts w:ascii="Times New Roman" w:hAnsi="Times New Roman"/>
          <w:sz w:val="28"/>
          <w:szCs w:val="28"/>
        </w:rPr>
        <w:t>2. Расчет размера субсидии бюджету i-го муниципального образования осуществляется по следующей формуле:</w:t>
      </w:r>
    </w:p>
    <w:p>
      <w:pPr>
        <w:pStyle w:val="ConsPlusNormal1"/>
        <w:spacing w:before="220" w:after="0"/>
        <w:jc w:val="center"/>
        <w:rPr>
          <w:rFonts w:ascii="Times New Roman" w:hAnsi="Times New Roman"/>
          <w:sz w:val="28"/>
          <w:szCs w:val="28"/>
        </w:rPr>
      </w:pPr>
      <w:r>
        <w:rPr/>
        <w:drawing>
          <wp:inline distT="0" distB="0" distL="0" distR="0">
            <wp:extent cx="800100" cy="352425"/>
            <wp:effectExtent l="0" t="0" r="0" b="0"/>
            <wp:docPr id="1" name="Рисунок 4" descr="base_23753_53582_3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4" descr="base_23753_53582_32787"/>
                    <pic:cNvPicPr>
                      <a:picLocks noChangeAspect="1" noChangeArrowheads="1"/>
                    </pic:cNvPicPr>
                  </pic:nvPicPr>
                  <pic:blipFill>
                    <a:blip r:embed="rId4"/>
                    <a:stretch>
                      <a:fillRect/>
                    </a:stretch>
                  </pic:blipFill>
                  <pic:spPr bwMode="auto">
                    <a:xfrm>
                      <a:off x="0" y="0"/>
                      <a:ext cx="800100" cy="352425"/>
                    </a:xfrm>
                    <a:prstGeom prst="rect">
                      <a:avLst/>
                    </a:prstGeom>
                  </pic:spPr>
                </pic:pic>
              </a:graphicData>
            </a:graphic>
          </wp:inline>
        </w:drawing>
      </w:r>
      <w:r>
        <w:rPr>
          <w:rFonts w:ascii="Times New Roman" w:hAnsi="Times New Roman"/>
          <w:sz w:val="28"/>
          <w:szCs w:val="28"/>
        </w:rPr>
        <w:t>, где:</w:t>
      </w:r>
    </w:p>
    <w:p>
      <w:pPr>
        <w:pStyle w:val="ConsPlusNormal1"/>
        <w:jc w:val="center"/>
        <w:rPr>
          <w:rFonts w:ascii="Times New Roman" w:hAnsi="Times New Roman"/>
          <w:sz w:val="28"/>
          <w:szCs w:val="28"/>
        </w:rPr>
      </w:pPr>
      <w:r>
        <w:rPr>
          <w:rFonts w:ascii="Times New Roman" w:hAnsi="Times New Roman"/>
          <w:sz w:val="28"/>
          <w:szCs w:val="28"/>
        </w:rPr>
      </w:r>
    </w:p>
    <w:p>
      <w:pPr>
        <w:pStyle w:val="ConsPlusNormal1"/>
        <w:jc w:val="center"/>
        <w:rPr>
          <w:rFonts w:ascii="Times New Roman" w:hAnsi="Times New Roman"/>
          <w:sz w:val="28"/>
          <w:szCs w:val="28"/>
        </w:rPr>
      </w:pPr>
      <w:r>
        <w:rPr>
          <w:rFonts w:ascii="Times New Roman" w:hAnsi="Times New Roman"/>
          <w:sz w:val="28"/>
          <w:szCs w:val="28"/>
        </w:rPr>
      </w:r>
    </w:p>
    <w:p>
      <w:pPr>
        <w:pStyle w:val="ConsPlusNormal1"/>
        <w:ind w:firstLine="540"/>
        <w:jc w:val="both"/>
        <w:rPr>
          <w:rFonts w:ascii="Times New Roman" w:hAnsi="Times New Roman"/>
          <w:sz w:val="28"/>
          <w:szCs w:val="28"/>
        </w:rPr>
      </w:pPr>
      <w:r>
        <w:rPr>
          <w:rFonts w:ascii="Times New Roman" w:hAnsi="Times New Roman"/>
          <w:sz w:val="28"/>
          <w:szCs w:val="28"/>
        </w:rPr>
        <w:t>S</w:t>
      </w:r>
      <w:r>
        <w:rPr>
          <w:rFonts w:ascii="Times New Roman" w:hAnsi="Times New Roman"/>
          <w:sz w:val="28"/>
          <w:szCs w:val="28"/>
          <w:vertAlign w:val="subscript"/>
        </w:rPr>
        <w:t>i</w:t>
      </w:r>
      <w:r>
        <w:rPr>
          <w:rFonts w:ascii="Times New Roman" w:hAnsi="Times New Roman"/>
          <w:sz w:val="28"/>
          <w:szCs w:val="28"/>
        </w:rPr>
        <w:t xml:space="preserve"> - размер субсидии бюджету i-го муниципального образования;</w:t>
      </w:r>
    </w:p>
    <w:p>
      <w:pPr>
        <w:pStyle w:val="ConsPlusNormal1"/>
        <w:spacing w:before="220" w:after="0"/>
        <w:ind w:firstLine="540"/>
        <w:jc w:val="both"/>
        <w:rPr>
          <w:rFonts w:ascii="Times New Roman" w:hAnsi="Times New Roman"/>
          <w:sz w:val="28"/>
          <w:szCs w:val="28"/>
        </w:rPr>
      </w:pPr>
      <w:r>
        <w:rPr>
          <w:rFonts w:ascii="Times New Roman" w:hAnsi="Times New Roman"/>
          <w:sz w:val="28"/>
          <w:szCs w:val="28"/>
        </w:rPr>
        <w:t>Sh - общий объем субсидии, подлежащий распределению между бюджетами муниципальных образований на проведение мероприятий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p>
      <w:pPr>
        <w:pStyle w:val="ConsPlusNormal1"/>
        <w:spacing w:before="220" w:after="0"/>
        <w:ind w:firstLine="540"/>
        <w:jc w:val="both"/>
        <w:rPr>
          <w:rFonts w:ascii="Times New Roman" w:hAnsi="Times New Roman"/>
          <w:sz w:val="28"/>
          <w:szCs w:val="28"/>
        </w:rPr>
      </w:pPr>
      <w:r>
        <w:rPr>
          <w:rFonts w:ascii="Times New Roman" w:hAnsi="Times New Roman"/>
          <w:sz w:val="28"/>
          <w:szCs w:val="28"/>
        </w:rPr>
        <w:t>Nh - общее количество образовательных организаций, в том числе дошкольных образовательных, общеобразовательных организаций, организаций дополнительного образования детей (в том числе организаций, осуществляющих образовательную деятельность по адаптированным основным общеобразовательным программам), муниципальных районов (городских округов) региона согласно перечню в соглашении между Министерством труда и социальной защиты Российской Федерации/Министерством просвещения Российской Федерации и Правительством Брянской области на соответствующий год;</w:t>
      </w:r>
    </w:p>
    <w:p>
      <w:pPr>
        <w:sectPr>
          <w:type w:val="nextPage"/>
          <w:pgSz w:w="11906" w:h="16838"/>
          <w:pgMar w:left="1701" w:right="850" w:header="0" w:top="1134" w:footer="0" w:bottom="1134" w:gutter="0"/>
          <w:pgNumType w:fmt="decimal"/>
          <w:formProt w:val="false"/>
          <w:textDirection w:val="lrTb"/>
          <w:docGrid w:type="default" w:linePitch="100" w:charSpace="0"/>
        </w:sectPr>
        <w:pStyle w:val="ConsPlusNormal1"/>
        <w:spacing w:before="220" w:after="0"/>
        <w:ind w:firstLine="540"/>
        <w:jc w:val="both"/>
        <w:rPr>
          <w:rFonts w:ascii="Times New Roman" w:hAnsi="Times New Roman"/>
          <w:sz w:val="28"/>
          <w:szCs w:val="28"/>
        </w:rPr>
      </w:pPr>
      <w:r>
        <w:rPr>
          <w:rFonts w:ascii="Times New Roman" w:hAnsi="Times New Roman"/>
          <w:sz w:val="28"/>
          <w:szCs w:val="28"/>
        </w:rPr>
        <w:t>mh - количество образовательных организаций, в том числе дошкольных образовательных, общеобразовательных организаций, организаций дополнительного образования детей (в том числе организаций, осуществляющих образовательную деятельность по адаптированным основным общеобразовательным программам), муниципального образования, где планируется создать условия для получения детьми-инвалидами качественного образования на основании указанного перечня в соглашении.</w:t>
      </w:r>
    </w:p>
    <w:p>
      <w:pPr>
        <w:pStyle w:val="Normal"/>
        <w:rPr>
          <w:rFonts w:ascii="Times New Roman" w:hAnsi="Times New Roman"/>
          <w:sz w:val="28"/>
          <w:szCs w:val="28"/>
        </w:rPr>
      </w:pPr>
      <w:r>
        <w:rPr/>
      </w:r>
    </w:p>
    <w:sectPr>
      <w:type w:val="nextPage"/>
      <w:pgSz w:w="11906" w:h="16838"/>
      <w:pgMar w:left="1701" w:right="850" w:header="0" w:top="1134" w:footer="0" w:bottom="1134"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Tahoma">
    <w:charset w:val="cc"/>
    <w:family w:val="roman"/>
    <w:pitch w:val="variable"/>
  </w:font>
  <w:font w:name="Liberation Sans">
    <w:altName w:val="Arial"/>
    <w:charset w:val="cc"/>
    <w:family w:val="swiss"/>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b0286d"/>
    <w:pPr>
      <w:widowControl/>
      <w:bidi w:val="0"/>
      <w:spacing w:lineRule="auto" w:line="240" w:before="0" w:after="0"/>
      <w:jc w:val="left"/>
    </w:pPr>
    <w:rPr>
      <w:rFonts w:ascii="Times New Roman" w:hAnsi="Times New Roman" w:eastAsia="Times New Roman" w:cs="Times New Roman"/>
      <w:color w:val="auto"/>
      <w:kern w:val="0"/>
      <w:sz w:val="20"/>
      <w:szCs w:val="20"/>
      <w:lang w:eastAsia="ru-RU" w:val="ru-RU" w:bidi="ar-SA"/>
    </w:rPr>
  </w:style>
  <w:style w:type="character" w:styleId="DefaultParagraphFont" w:default="1">
    <w:name w:val="Default Paragraph Font"/>
    <w:uiPriority w:val="1"/>
    <w:semiHidden/>
    <w:unhideWhenUsed/>
    <w:qFormat/>
    <w:rPr/>
  </w:style>
  <w:style w:type="character" w:styleId="ConsPlusNormal" w:customStyle="1">
    <w:name w:val="ConsPlusNormal Знак"/>
    <w:link w:val="ConsPlusNormal"/>
    <w:uiPriority w:val="99"/>
    <w:qFormat/>
    <w:locked/>
    <w:rsid w:val="00b0286d"/>
    <w:rPr>
      <w:rFonts w:ascii="Calibri" w:hAnsi="Calibri" w:eastAsia="Times New Roman" w:cs="Times New Roman"/>
      <w:lang w:eastAsia="ru-RU"/>
    </w:rPr>
  </w:style>
  <w:style w:type="character" w:styleId="Style14" w:customStyle="1">
    <w:name w:val="Текст выноски Знак"/>
    <w:basedOn w:val="DefaultParagraphFont"/>
    <w:link w:val="a3"/>
    <w:uiPriority w:val="99"/>
    <w:semiHidden/>
    <w:qFormat/>
    <w:rsid w:val="00b0286d"/>
    <w:rPr>
      <w:rFonts w:ascii="Tahoma" w:hAnsi="Tahoma" w:eastAsia="Times New Roman" w:cs="Tahoma"/>
      <w:sz w:val="16"/>
      <w:szCs w:val="16"/>
      <w:lang w:eastAsia="ru-RU"/>
    </w:rPr>
  </w:style>
  <w:style w:type="character" w:styleId="Style15">
    <w:name w:val="Интернет-ссылка"/>
    <w:rPr>
      <w:color w:val="000080"/>
      <w:u w:val="single"/>
      <w:lang w:val="zxx" w:eastAsia="zxx" w:bidi="zxx"/>
    </w:rPr>
  </w:style>
  <w:style w:type="paragraph" w:styleId="Style16">
    <w:name w:val="Заголовок"/>
    <w:basedOn w:val="Normal"/>
    <w:next w:val="Style17"/>
    <w:qFormat/>
    <w:pPr>
      <w:keepNext w:val="true"/>
      <w:spacing w:before="240" w:after="120"/>
    </w:pPr>
    <w:rPr>
      <w:rFonts w:ascii="Liberation Sans" w:hAnsi="Liberation Sans" w:eastAsia="Microsoft YaHei" w:cs="Arial Unicode MS"/>
      <w:sz w:val="28"/>
      <w:szCs w:val="28"/>
    </w:rPr>
  </w:style>
  <w:style w:type="paragraph" w:styleId="Style17">
    <w:name w:val="Body Text"/>
    <w:basedOn w:val="Normal"/>
    <w:pPr>
      <w:spacing w:lineRule="auto" w:line="276" w:before="0" w:after="140"/>
    </w:pPr>
    <w:rPr/>
  </w:style>
  <w:style w:type="paragraph" w:styleId="Style18">
    <w:name w:val="List"/>
    <w:basedOn w:val="Style17"/>
    <w:pPr/>
    <w:rPr>
      <w:rFonts w:cs="Arial Unicode MS"/>
    </w:rPr>
  </w:style>
  <w:style w:type="paragraph" w:styleId="Style19">
    <w:name w:val="Caption"/>
    <w:basedOn w:val="Normal"/>
    <w:qFormat/>
    <w:pPr>
      <w:suppressLineNumbers/>
      <w:spacing w:before="120" w:after="120"/>
    </w:pPr>
    <w:rPr>
      <w:rFonts w:cs="Arial Unicode MS"/>
      <w:i/>
      <w:iCs/>
      <w:sz w:val="24"/>
      <w:szCs w:val="24"/>
    </w:rPr>
  </w:style>
  <w:style w:type="paragraph" w:styleId="Style20">
    <w:name w:val="Указатель"/>
    <w:basedOn w:val="Normal"/>
    <w:qFormat/>
    <w:pPr>
      <w:suppressLineNumbers/>
    </w:pPr>
    <w:rPr>
      <w:rFonts w:cs="Arial Unicode MS"/>
    </w:rPr>
  </w:style>
  <w:style w:type="paragraph" w:styleId="ConsPlusNormal1" w:customStyle="1">
    <w:name w:val="ConsPlusNormal"/>
    <w:link w:val="ConsPlusNormal0"/>
    <w:uiPriority w:val="99"/>
    <w:qFormat/>
    <w:rsid w:val="00b0286d"/>
    <w:pPr>
      <w:widowControl w:val="false"/>
      <w:bidi w:val="0"/>
      <w:spacing w:lineRule="auto" w:line="240" w:before="0" w:after="0"/>
      <w:jc w:val="left"/>
    </w:pPr>
    <w:rPr>
      <w:rFonts w:ascii="Calibri" w:hAnsi="Calibri" w:eastAsia="Times New Roman" w:cs="Times New Roman" w:asciiTheme="minorHAnsi" w:hAnsiTheme="minorHAnsi"/>
      <w:color w:val="auto"/>
      <w:kern w:val="0"/>
      <w:sz w:val="22"/>
      <w:szCs w:val="22"/>
      <w:lang w:eastAsia="ru-RU" w:val="ru-RU" w:bidi="ar-SA"/>
    </w:rPr>
  </w:style>
  <w:style w:type="paragraph" w:styleId="BalloonText">
    <w:name w:val="Balloon Text"/>
    <w:basedOn w:val="Normal"/>
    <w:link w:val="a4"/>
    <w:uiPriority w:val="99"/>
    <w:semiHidden/>
    <w:unhideWhenUsed/>
    <w:qFormat/>
    <w:rsid w:val="00b0286d"/>
    <w:pPr/>
    <w:rPr>
      <w:rFonts w:ascii="Tahoma" w:hAnsi="Tahoma" w:cs="Tahoma"/>
      <w:sz w:val="16"/>
      <w:szCs w:val="16"/>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internet.garant.ru/document/redirect/42588594/0" TargetMode="External"/><Relationship Id="rId3" Type="http://schemas.openxmlformats.org/officeDocument/2006/relationships/hyperlink" Target="consultantplus://offline/ref=1CCE7BC35ACBD59767F50A653C37277A017F542212ED908B6494C41CD21C281EF32139A39D1B06B8Y8U4H" TargetMode="External"/><Relationship Id="rId4" Type="http://schemas.openxmlformats.org/officeDocument/2006/relationships/image" Target="media/image1.wmf"/><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LibreOffice/7.0.1.2$Windows_X86_64 LibreOffice_project/7cbcfc562f6eb6708b5ff7d7397325de9e764452</Application>
  <Pages>4</Pages>
  <Words>1151</Words>
  <Characters>9686</Characters>
  <CharactersWithSpaces>10825</CharactersWithSpaces>
  <Paragraphs>43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2021-10-19T13:57:00Z</dcterms:created>
  <dc:creator>Гладченкова Юлия Сергеевна</dc:creator>
  <dc:description/>
  <dc:language>ru-RU</dc:language>
  <cp:lastModifiedBy>Гладченкова Юлия Сергеевна</cp:lastModifiedBy>
  <dcterms:modified xsi:type="dcterms:W3CDTF">2021-10-19T13:57:00Z</dcterms:modified>
  <cp:revision>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4</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